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67283" w14:textId="63462C84" w:rsidR="00F106A5" w:rsidRDefault="00246423">
      <w:pPr>
        <w:rPr>
          <w:rFonts w:ascii="Verdana" w:hAnsi="Verdana" w:cs="Calibri Light"/>
          <w:sz w:val="24"/>
          <w:szCs w:val="24"/>
        </w:rPr>
      </w:pPr>
      <w:r w:rsidRPr="00246423">
        <w:rPr>
          <w:rFonts w:ascii="Verdana" w:hAnsi="Verdana" w:cs="Calibri Light"/>
          <w:sz w:val="24"/>
          <w:szCs w:val="24"/>
        </w:rPr>
        <w:t xml:space="preserve">Table summarising details for the </w:t>
      </w:r>
      <w:r w:rsidR="00F806AD">
        <w:rPr>
          <w:rFonts w:ascii="Verdana" w:hAnsi="Verdana" w:cs="Calibri Light"/>
          <w:sz w:val="24"/>
          <w:szCs w:val="24"/>
        </w:rPr>
        <w:t>t</w:t>
      </w:r>
      <w:r w:rsidR="00C20378">
        <w:rPr>
          <w:rFonts w:ascii="Verdana" w:hAnsi="Verdana" w:cs="Calibri Light"/>
          <w:sz w:val="24"/>
          <w:szCs w:val="24"/>
        </w:rPr>
        <w:t>ramadol</w:t>
      </w:r>
      <w:r w:rsidRPr="00246423">
        <w:rPr>
          <w:rFonts w:ascii="Verdana" w:hAnsi="Verdana" w:cs="Calibri Light"/>
          <w:sz w:val="24"/>
          <w:szCs w:val="24"/>
        </w:rPr>
        <w:t xml:space="preserve"> indicator; </w:t>
      </w:r>
      <w:r w:rsidR="0067670F" w:rsidRPr="00941533">
        <w:rPr>
          <w:rFonts w:ascii="Verdana" w:hAnsi="Verdana" w:cstheme="minorHAnsi"/>
          <w:sz w:val="24"/>
          <w:szCs w:val="24"/>
        </w:rPr>
        <w:t>including the purpose, unit of measure and aim</w:t>
      </w:r>
    </w:p>
    <w:p w14:paraId="75AC156F" w14:textId="77777777" w:rsidR="00C70880" w:rsidRPr="00246423" w:rsidRDefault="00C70880">
      <w:pPr>
        <w:rPr>
          <w:rFonts w:ascii="Verdana" w:hAnsi="Verdana"/>
          <w:sz w:val="24"/>
          <w:szCs w:val="24"/>
        </w:rPr>
      </w:pPr>
    </w:p>
    <w:tbl>
      <w:tblPr>
        <w:tblW w:w="5332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Caption w:val="Table summarising details for the tramadol indicator"/>
        <w:tblDescription w:val="Table summarising details for the tramadol indicator; including the purpose, unit of measure and aim"/>
      </w:tblPr>
      <w:tblGrid>
        <w:gridCol w:w="2347"/>
        <w:gridCol w:w="7257"/>
      </w:tblGrid>
      <w:tr w:rsidR="00F106A5" w:rsidRPr="00862A56" w14:paraId="7CA3E1B5" w14:textId="77777777" w:rsidTr="00C70880">
        <w:trPr>
          <w:trHeight w:val="578"/>
        </w:trPr>
        <w:tc>
          <w:tcPr>
            <w:tcW w:w="12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705224" w14:textId="77777777" w:rsidR="00F106A5" w:rsidRPr="00A03C25" w:rsidRDefault="00F106A5" w:rsidP="00C70880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A03C25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Purpose</w:t>
            </w:r>
          </w:p>
        </w:tc>
        <w:tc>
          <w:tcPr>
            <w:tcW w:w="37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0C36EC" w14:textId="77777777" w:rsidR="00F106A5" w:rsidRPr="00AF7CBB" w:rsidRDefault="00F106A5" w:rsidP="00AF7CBB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AF7CBB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To encourage appropriate use and review of tramadol in primary care, minimising the potential for dependence, diversion, misuse and ADRs.</w:t>
            </w:r>
          </w:p>
        </w:tc>
      </w:tr>
      <w:tr w:rsidR="00F106A5" w:rsidRPr="00862A56" w14:paraId="34F84A15" w14:textId="77777777" w:rsidTr="00C70880">
        <w:trPr>
          <w:trHeight w:val="578"/>
        </w:trPr>
        <w:tc>
          <w:tcPr>
            <w:tcW w:w="12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16E533" w14:textId="77777777" w:rsidR="00F106A5" w:rsidRPr="00A03C25" w:rsidRDefault="00F106A5" w:rsidP="00C70880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A03C25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Unit of measure</w:t>
            </w:r>
          </w:p>
        </w:tc>
        <w:tc>
          <w:tcPr>
            <w:tcW w:w="37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63A687" w14:textId="77777777" w:rsidR="00F106A5" w:rsidRPr="00AF7CBB" w:rsidRDefault="00F106A5" w:rsidP="00AF7CBB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AF7CBB">
              <w:rPr>
                <w:rFonts w:ascii="Verdana" w:eastAsia="Times New Roman" w:hAnsi="Verdana"/>
                <w:color w:val="auto"/>
                <w:sz w:val="24"/>
                <w:szCs w:val="24"/>
                <w:lang w:val="da-DK" w:eastAsia="en-GB"/>
              </w:rPr>
              <w:t>Tramadol DDDs per 1,000 patients</w:t>
            </w:r>
          </w:p>
        </w:tc>
      </w:tr>
      <w:tr w:rsidR="00F106A5" w:rsidRPr="00862A56" w14:paraId="40E206E6" w14:textId="77777777" w:rsidTr="00C70880">
        <w:trPr>
          <w:trHeight w:val="578"/>
        </w:trPr>
        <w:tc>
          <w:tcPr>
            <w:tcW w:w="12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3ED495" w14:textId="77777777" w:rsidR="00F106A5" w:rsidRPr="00A03C25" w:rsidRDefault="00F106A5" w:rsidP="00C70880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A03C25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Aim</w:t>
            </w:r>
          </w:p>
        </w:tc>
        <w:tc>
          <w:tcPr>
            <w:tcW w:w="37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6E2082" w14:textId="77777777" w:rsidR="00F106A5" w:rsidRPr="00AF7CBB" w:rsidRDefault="00F106A5" w:rsidP="00AF7CBB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AF7CBB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To reduce prescribing.</w:t>
            </w:r>
          </w:p>
        </w:tc>
      </w:tr>
    </w:tbl>
    <w:p w14:paraId="622D0D9E" w14:textId="3A2F8012" w:rsidR="00F106A5" w:rsidRDefault="00F106A5"/>
    <w:p w14:paraId="4B50F633" w14:textId="77777777" w:rsidR="00F106A5" w:rsidRDefault="00F106A5"/>
    <w:sectPr w:rsidR="00F10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48"/>
    <w:rsid w:val="000D73BA"/>
    <w:rsid w:val="00246423"/>
    <w:rsid w:val="0027464E"/>
    <w:rsid w:val="00596148"/>
    <w:rsid w:val="0067670F"/>
    <w:rsid w:val="00A03C25"/>
    <w:rsid w:val="00AF7CBB"/>
    <w:rsid w:val="00BC6BF4"/>
    <w:rsid w:val="00C20378"/>
    <w:rsid w:val="00C70880"/>
    <w:rsid w:val="00EE14BC"/>
    <w:rsid w:val="00F106A5"/>
    <w:rsid w:val="00F8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1A62C"/>
  <w15:chartTrackingRefBased/>
  <w15:docId w15:val="{0B1F9F6B-A4C8-4345-B916-342A43C4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0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C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8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7C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Davies (HEIW)</dc:creator>
  <cp:keywords/>
  <dc:description/>
  <cp:lastModifiedBy>Melanie Davies (HEIW)</cp:lastModifiedBy>
  <cp:revision>12</cp:revision>
  <dcterms:created xsi:type="dcterms:W3CDTF">2021-09-09T09:23:00Z</dcterms:created>
  <dcterms:modified xsi:type="dcterms:W3CDTF">2021-10-18T15:03:00Z</dcterms:modified>
</cp:coreProperties>
</file>