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6DBF" w14:textId="4FF55420" w:rsidR="00566A0B" w:rsidRDefault="003C70BC">
      <w:pPr>
        <w:rPr>
          <w:rFonts w:ascii="Verdana" w:hAnsi="Verdana" w:cs="Calibri Light"/>
          <w:sz w:val="24"/>
          <w:szCs w:val="24"/>
        </w:rPr>
      </w:pPr>
      <w:r w:rsidRPr="000D4A81">
        <w:rPr>
          <w:rFonts w:ascii="Verdana" w:hAnsi="Verdana" w:cs="Calibri Light"/>
          <w:sz w:val="24"/>
          <w:szCs w:val="24"/>
        </w:rPr>
        <w:t>Table summarising the indicators that are grouped in the priority area of ‘</w:t>
      </w:r>
      <w:r w:rsidR="000D4A81">
        <w:rPr>
          <w:rFonts w:ascii="Verdana" w:hAnsi="Verdana" w:cs="Calibri Light"/>
          <w:sz w:val="24"/>
          <w:szCs w:val="24"/>
        </w:rPr>
        <w:t>S</w:t>
      </w:r>
      <w:r w:rsidRPr="000D4A81">
        <w:rPr>
          <w:rFonts w:ascii="Verdana" w:hAnsi="Verdana" w:cs="Calibri Light"/>
          <w:sz w:val="24"/>
          <w:szCs w:val="24"/>
        </w:rPr>
        <w:t>afety’; including whether they apply to primary or secondary care, the units being used to measure each, and what the overall target is for GP practices and health boards in NHS Wales for 2021 to 2022</w:t>
      </w:r>
    </w:p>
    <w:p w14:paraId="11A93B13" w14:textId="244C0D83" w:rsidR="00FB77BA" w:rsidRDefault="00FB77BA">
      <w:pPr>
        <w:rPr>
          <w:rFonts w:ascii="Verdana" w:hAnsi="Verdana" w:cs="Calibri Light"/>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Caption w:val="Table summarising the indicators that are grouped in the priority area of Safety"/>
        <w:tblDescription w:val="Table summarising the indicators that are grouped in the priority area of ‘Safety’; including whether they apply to primary or secondary care, the units being used to measure each, and what the overall target is for GP practices and health boards in NHS Wales for 2021 to 2022"/>
      </w:tblPr>
      <w:tblGrid>
        <w:gridCol w:w="1810"/>
        <w:gridCol w:w="1446"/>
        <w:gridCol w:w="2449"/>
        <w:gridCol w:w="3311"/>
      </w:tblGrid>
      <w:tr w:rsidR="00292106" w:rsidRPr="00292106" w14:paraId="22F1AA51" w14:textId="77777777" w:rsidTr="0008434D">
        <w:trPr>
          <w:cantSplit/>
          <w:tblHeader/>
          <w:jc w:val="center"/>
        </w:trPr>
        <w:tc>
          <w:tcPr>
            <w:tcW w:w="1004"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71250D5D" w14:textId="77777777" w:rsidR="002B31E7" w:rsidRPr="00292106" w:rsidRDefault="002B31E7" w:rsidP="00292106">
            <w:pPr>
              <w:pStyle w:val="Heading1"/>
              <w:jc w:val="center"/>
              <w:rPr>
                <w:rFonts w:ascii="Verdana" w:hAnsi="Verdana"/>
                <w:b/>
                <w:bCs/>
                <w:i/>
                <w:color w:val="FFFFFF" w:themeColor="background1"/>
                <w:sz w:val="20"/>
                <w:szCs w:val="20"/>
              </w:rPr>
            </w:pPr>
            <w:r w:rsidRPr="00292106">
              <w:rPr>
                <w:rFonts w:ascii="Verdana" w:hAnsi="Verdana"/>
                <w:b/>
                <w:bCs/>
                <w:color w:val="FFFFFF" w:themeColor="background1"/>
                <w:sz w:val="20"/>
                <w:szCs w:val="20"/>
              </w:rPr>
              <w:t>National Prescribing Indicator</w:t>
            </w:r>
          </w:p>
        </w:tc>
        <w:tc>
          <w:tcPr>
            <w:tcW w:w="802"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357E8DA4" w14:textId="77777777" w:rsidR="002B31E7" w:rsidRPr="00292106" w:rsidRDefault="002B31E7" w:rsidP="00292106">
            <w:pPr>
              <w:pStyle w:val="Heading1"/>
              <w:jc w:val="center"/>
              <w:rPr>
                <w:rFonts w:ascii="Verdana" w:hAnsi="Verdana"/>
                <w:b/>
                <w:bCs/>
                <w:i/>
                <w:color w:val="FFFFFF" w:themeColor="background1"/>
                <w:sz w:val="20"/>
                <w:szCs w:val="20"/>
              </w:rPr>
            </w:pPr>
            <w:r w:rsidRPr="00292106">
              <w:rPr>
                <w:rFonts w:ascii="Verdana" w:hAnsi="Verdana"/>
                <w:b/>
                <w:bCs/>
                <w:color w:val="FFFFFF" w:themeColor="background1"/>
                <w:sz w:val="20"/>
                <w:szCs w:val="20"/>
              </w:rPr>
              <w:t>Applicable to:</w:t>
            </w:r>
          </w:p>
        </w:tc>
        <w:tc>
          <w:tcPr>
            <w:tcW w:w="1358"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530C92EF" w14:textId="77777777" w:rsidR="002B31E7" w:rsidRPr="00292106" w:rsidRDefault="002B31E7" w:rsidP="00292106">
            <w:pPr>
              <w:pStyle w:val="Heading1"/>
              <w:jc w:val="center"/>
              <w:rPr>
                <w:rFonts w:ascii="Verdana" w:hAnsi="Verdana"/>
                <w:b/>
                <w:bCs/>
                <w:i/>
                <w:color w:val="FFFFFF" w:themeColor="background1"/>
                <w:sz w:val="20"/>
                <w:szCs w:val="20"/>
              </w:rPr>
            </w:pPr>
            <w:r w:rsidRPr="00292106">
              <w:rPr>
                <w:rFonts w:ascii="Verdana" w:hAnsi="Verdana"/>
                <w:b/>
                <w:bCs/>
                <w:color w:val="FFFFFF" w:themeColor="background1"/>
                <w:sz w:val="20"/>
                <w:szCs w:val="20"/>
              </w:rPr>
              <w:t>Unit of measure</w:t>
            </w:r>
          </w:p>
        </w:tc>
        <w:tc>
          <w:tcPr>
            <w:tcW w:w="1836" w:type="pct"/>
            <w:tcBorders>
              <w:top w:val="single" w:sz="4" w:space="0" w:color="BFBFBF"/>
              <w:left w:val="single" w:sz="4" w:space="0" w:color="BFBFBF"/>
              <w:bottom w:val="single" w:sz="4" w:space="0" w:color="BFBFBF"/>
              <w:right w:val="single" w:sz="4" w:space="0" w:color="BFBFBF"/>
            </w:tcBorders>
            <w:shd w:val="clear" w:color="auto" w:fill="09396D"/>
            <w:vAlign w:val="center"/>
          </w:tcPr>
          <w:p w14:paraId="246DCA2B" w14:textId="77777777" w:rsidR="002B31E7" w:rsidRPr="00292106" w:rsidRDefault="002B31E7" w:rsidP="00292106">
            <w:pPr>
              <w:pStyle w:val="Heading1"/>
              <w:jc w:val="center"/>
              <w:rPr>
                <w:rFonts w:ascii="Verdana" w:hAnsi="Verdana"/>
                <w:b/>
                <w:bCs/>
                <w:i/>
                <w:color w:val="FFFFFF" w:themeColor="background1"/>
                <w:sz w:val="20"/>
                <w:szCs w:val="20"/>
              </w:rPr>
            </w:pPr>
            <w:r w:rsidRPr="00292106">
              <w:rPr>
                <w:rFonts w:ascii="Verdana" w:hAnsi="Verdana"/>
                <w:b/>
                <w:bCs/>
                <w:color w:val="FFFFFF" w:themeColor="background1"/>
                <w:sz w:val="20"/>
                <w:szCs w:val="20"/>
              </w:rPr>
              <w:t>Target for 2021–2022</w:t>
            </w:r>
          </w:p>
        </w:tc>
      </w:tr>
      <w:tr w:rsidR="002B31E7" w:rsidRPr="002B31E7" w14:paraId="54227D1D" w14:textId="77777777" w:rsidTr="0008434D">
        <w:trPr>
          <w:cantSplit/>
          <w:trHeight w:val="227"/>
          <w:tblHeader/>
          <w:jc w:val="center"/>
        </w:trPr>
        <w:tc>
          <w:tcPr>
            <w:tcW w:w="5000" w:type="pct"/>
            <w:gridSpan w:val="4"/>
            <w:tcBorders>
              <w:top w:val="single" w:sz="4" w:space="0" w:color="BFBFBF"/>
              <w:left w:val="single" w:sz="4" w:space="0" w:color="BFBFBF"/>
              <w:bottom w:val="single" w:sz="4" w:space="0" w:color="BFBFBF"/>
              <w:right w:val="single" w:sz="4" w:space="0" w:color="BFBFBF"/>
            </w:tcBorders>
            <w:shd w:val="clear" w:color="auto" w:fill="D8DFF4"/>
            <w:vAlign w:val="center"/>
          </w:tcPr>
          <w:p w14:paraId="2C1F9EF9" w14:textId="77777777" w:rsidR="002B31E7" w:rsidRPr="002B31E7" w:rsidRDefault="002B31E7" w:rsidP="0008434D">
            <w:pPr>
              <w:contextualSpacing/>
              <w:rPr>
                <w:rFonts w:ascii="Verdana" w:hAnsi="Verdana" w:cs="Arial"/>
                <w:sz w:val="20"/>
                <w:szCs w:val="20"/>
              </w:rPr>
            </w:pPr>
            <w:r w:rsidRPr="002B31E7">
              <w:rPr>
                <w:rFonts w:ascii="Verdana" w:hAnsi="Verdana" w:cs="Arial"/>
                <w:b/>
                <w:sz w:val="20"/>
                <w:szCs w:val="20"/>
              </w:rPr>
              <w:t>Supporting Domain: Safety</w:t>
            </w:r>
          </w:p>
        </w:tc>
      </w:tr>
      <w:tr w:rsidR="002B31E7" w:rsidRPr="002B31E7" w14:paraId="1CB87351" w14:textId="77777777" w:rsidTr="0008434D">
        <w:trPr>
          <w:cantSplit/>
          <w:trHeight w:val="283"/>
          <w:tblHeader/>
          <w:jc w:val="center"/>
        </w:trPr>
        <w:tc>
          <w:tcPr>
            <w:tcW w:w="1004" w:type="pct"/>
            <w:tcBorders>
              <w:top w:val="single" w:sz="4" w:space="0" w:color="BFBFBF"/>
              <w:left w:val="single" w:sz="4" w:space="0" w:color="BFBFBF"/>
              <w:bottom w:val="single" w:sz="4" w:space="0" w:color="BFBFBF"/>
              <w:right w:val="single" w:sz="4" w:space="0" w:color="BFBFBF"/>
            </w:tcBorders>
            <w:shd w:val="clear" w:color="auto" w:fill="F4F4F4"/>
            <w:vAlign w:val="center"/>
          </w:tcPr>
          <w:p w14:paraId="4A26A663" w14:textId="77777777" w:rsidR="002B31E7" w:rsidRPr="002B31E7" w:rsidRDefault="002B31E7" w:rsidP="0008434D">
            <w:pPr>
              <w:ind w:right="-109"/>
              <w:contextualSpacing/>
              <w:rPr>
                <w:rFonts w:ascii="Verdana" w:hAnsi="Verdana" w:cs="Arial"/>
                <w:b/>
                <w:sz w:val="20"/>
                <w:szCs w:val="20"/>
              </w:rPr>
            </w:pPr>
            <w:r w:rsidRPr="002B31E7">
              <w:rPr>
                <w:rFonts w:ascii="Verdana" w:hAnsi="Verdana" w:cs="Arial"/>
                <w:b/>
                <w:sz w:val="20"/>
                <w:szCs w:val="20"/>
              </w:rPr>
              <w:t>Prescribing Safety Indicators</w:t>
            </w:r>
          </w:p>
        </w:tc>
        <w:tc>
          <w:tcPr>
            <w:tcW w:w="802" w:type="pct"/>
            <w:tcBorders>
              <w:top w:val="single" w:sz="4" w:space="0" w:color="BFBFBF"/>
              <w:left w:val="single" w:sz="4" w:space="0" w:color="BFBFBF"/>
              <w:bottom w:val="single" w:sz="4" w:space="0" w:color="BFBFBF"/>
              <w:right w:val="single" w:sz="4" w:space="0" w:color="BFBFBF"/>
            </w:tcBorders>
            <w:vAlign w:val="center"/>
          </w:tcPr>
          <w:p w14:paraId="47CA1089"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Primary care</w:t>
            </w:r>
          </w:p>
        </w:tc>
        <w:tc>
          <w:tcPr>
            <w:tcW w:w="1358" w:type="pct"/>
            <w:tcBorders>
              <w:top w:val="single" w:sz="4" w:space="0" w:color="BFBFBF"/>
              <w:left w:val="single" w:sz="4" w:space="0" w:color="BFBFBF"/>
              <w:bottom w:val="single" w:sz="4" w:space="0" w:color="BFBFBF"/>
              <w:right w:val="single" w:sz="4" w:space="0" w:color="BFBFBF"/>
            </w:tcBorders>
            <w:vAlign w:val="center"/>
          </w:tcPr>
          <w:p w14:paraId="2DE9392E"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Number of patients identified</w:t>
            </w:r>
          </w:p>
        </w:tc>
        <w:tc>
          <w:tcPr>
            <w:tcW w:w="1836" w:type="pct"/>
            <w:tcBorders>
              <w:top w:val="single" w:sz="4" w:space="0" w:color="BFBFBF"/>
              <w:left w:val="single" w:sz="4" w:space="0" w:color="BFBFBF"/>
              <w:bottom w:val="single" w:sz="4" w:space="0" w:color="BFBFBF"/>
              <w:right w:val="single" w:sz="4" w:space="0" w:color="BFBFBF"/>
            </w:tcBorders>
            <w:vAlign w:val="center"/>
          </w:tcPr>
          <w:p w14:paraId="67435248"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No target set</w:t>
            </w:r>
          </w:p>
        </w:tc>
      </w:tr>
      <w:tr w:rsidR="002B31E7" w:rsidRPr="002B31E7" w14:paraId="7B8F9C6F" w14:textId="77777777" w:rsidTr="0008434D">
        <w:trPr>
          <w:cantSplit/>
          <w:trHeight w:val="283"/>
          <w:tblHeader/>
          <w:jc w:val="center"/>
        </w:trPr>
        <w:tc>
          <w:tcPr>
            <w:tcW w:w="1004" w:type="pct"/>
            <w:tcBorders>
              <w:top w:val="single" w:sz="4" w:space="0" w:color="BFBFBF"/>
              <w:left w:val="single" w:sz="4" w:space="0" w:color="BFBFBF"/>
              <w:bottom w:val="single" w:sz="4" w:space="0" w:color="BFBFBF"/>
              <w:right w:val="single" w:sz="4" w:space="0" w:color="BFBFBF"/>
            </w:tcBorders>
            <w:shd w:val="clear" w:color="auto" w:fill="F4F4F4"/>
            <w:vAlign w:val="center"/>
          </w:tcPr>
          <w:p w14:paraId="6B2CB820" w14:textId="77777777" w:rsidR="002B31E7" w:rsidRPr="002B31E7" w:rsidRDefault="002B31E7" w:rsidP="0008434D">
            <w:pPr>
              <w:ind w:right="-109"/>
              <w:contextualSpacing/>
              <w:rPr>
                <w:rFonts w:ascii="Verdana" w:hAnsi="Verdana" w:cs="Arial"/>
                <w:b/>
                <w:sz w:val="20"/>
                <w:szCs w:val="20"/>
              </w:rPr>
            </w:pPr>
            <w:r w:rsidRPr="002B31E7">
              <w:rPr>
                <w:rFonts w:ascii="Verdana" w:hAnsi="Verdana" w:cs="Arial"/>
                <w:b/>
                <w:sz w:val="20"/>
                <w:szCs w:val="20"/>
              </w:rPr>
              <w:t>Proton pump inhibitors</w:t>
            </w:r>
          </w:p>
        </w:tc>
        <w:tc>
          <w:tcPr>
            <w:tcW w:w="802" w:type="pct"/>
            <w:tcBorders>
              <w:top w:val="single" w:sz="4" w:space="0" w:color="BFBFBF"/>
              <w:left w:val="single" w:sz="4" w:space="0" w:color="BFBFBF"/>
              <w:bottom w:val="single" w:sz="4" w:space="0" w:color="BFBFBF"/>
              <w:right w:val="single" w:sz="4" w:space="0" w:color="BFBFBF"/>
            </w:tcBorders>
            <w:vAlign w:val="center"/>
          </w:tcPr>
          <w:p w14:paraId="2DA08B54"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Primary care</w:t>
            </w:r>
          </w:p>
        </w:tc>
        <w:tc>
          <w:tcPr>
            <w:tcW w:w="1358" w:type="pct"/>
            <w:tcBorders>
              <w:top w:val="single" w:sz="4" w:space="0" w:color="BFBFBF"/>
              <w:left w:val="single" w:sz="4" w:space="0" w:color="BFBFBF"/>
              <w:bottom w:val="single" w:sz="4" w:space="0" w:color="BFBFBF"/>
              <w:right w:val="single" w:sz="4" w:space="0" w:color="BFBFBF"/>
            </w:tcBorders>
            <w:vAlign w:val="center"/>
          </w:tcPr>
          <w:p w14:paraId="030DD7FB"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PPI DDDs per 1,000 PUs</w:t>
            </w:r>
          </w:p>
        </w:tc>
        <w:tc>
          <w:tcPr>
            <w:tcW w:w="1836" w:type="pct"/>
            <w:tcBorders>
              <w:top w:val="single" w:sz="4" w:space="0" w:color="BFBFBF"/>
              <w:left w:val="single" w:sz="4" w:space="0" w:color="BFBFBF"/>
              <w:bottom w:val="single" w:sz="4" w:space="0" w:color="BFBFBF"/>
              <w:right w:val="single" w:sz="4" w:space="0" w:color="BFBFBF"/>
            </w:tcBorders>
            <w:vAlign w:val="center"/>
          </w:tcPr>
          <w:p w14:paraId="45237015" w14:textId="77777777" w:rsidR="002B31E7" w:rsidRPr="002B31E7" w:rsidRDefault="002B31E7" w:rsidP="0008434D">
            <w:pPr>
              <w:contextualSpacing/>
              <w:rPr>
                <w:rFonts w:ascii="Verdana" w:hAnsi="Verdana" w:cs="Arial"/>
                <w:sz w:val="20"/>
                <w:szCs w:val="20"/>
              </w:rPr>
            </w:pPr>
            <w:r w:rsidRPr="002B31E7">
              <w:rPr>
                <w:rFonts w:ascii="Verdana" w:hAnsi="Verdana" w:cs="Arial"/>
                <w:color w:val="000000"/>
                <w:sz w:val="20"/>
                <w:szCs w:val="20"/>
              </w:rPr>
              <w:t>Maintain performance levels within the lower quartile, or show a reduction towards the quartile below</w:t>
            </w:r>
          </w:p>
        </w:tc>
      </w:tr>
      <w:tr w:rsidR="002B31E7" w:rsidRPr="002B31E7" w14:paraId="2285BB59" w14:textId="77777777" w:rsidTr="0008434D">
        <w:trPr>
          <w:cantSplit/>
          <w:trHeight w:val="283"/>
          <w:tblHeader/>
          <w:jc w:val="center"/>
        </w:trPr>
        <w:tc>
          <w:tcPr>
            <w:tcW w:w="1004" w:type="pct"/>
            <w:tcBorders>
              <w:top w:val="single" w:sz="4" w:space="0" w:color="BFBFBF"/>
              <w:left w:val="single" w:sz="4" w:space="0" w:color="BFBFBF"/>
              <w:bottom w:val="single" w:sz="4" w:space="0" w:color="BFBFBF" w:themeColor="background1" w:themeShade="BF"/>
              <w:right w:val="single" w:sz="4" w:space="0" w:color="BFBFBF"/>
            </w:tcBorders>
            <w:shd w:val="clear" w:color="auto" w:fill="F4F4F4"/>
            <w:vAlign w:val="center"/>
          </w:tcPr>
          <w:p w14:paraId="4F71581E" w14:textId="77777777" w:rsidR="002B31E7" w:rsidRPr="002B31E7" w:rsidRDefault="002B31E7" w:rsidP="0008434D">
            <w:pPr>
              <w:ind w:right="-109"/>
              <w:contextualSpacing/>
              <w:rPr>
                <w:rFonts w:ascii="Verdana" w:hAnsi="Verdana" w:cs="Arial"/>
                <w:b/>
                <w:sz w:val="20"/>
                <w:szCs w:val="20"/>
              </w:rPr>
            </w:pPr>
            <w:r w:rsidRPr="002B31E7">
              <w:rPr>
                <w:rFonts w:ascii="Verdana" w:hAnsi="Verdana" w:cs="Arial"/>
                <w:b/>
                <w:sz w:val="20"/>
                <w:szCs w:val="20"/>
              </w:rPr>
              <w:t>Hypnotics and anxiolytics</w:t>
            </w:r>
          </w:p>
        </w:tc>
        <w:tc>
          <w:tcPr>
            <w:tcW w:w="802"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4A4E523C"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Primary care</w:t>
            </w:r>
          </w:p>
        </w:tc>
        <w:tc>
          <w:tcPr>
            <w:tcW w:w="1358"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39B5B1BF"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Hypnotic and anxiolytic UDG ADQs per 1,000 STAR-PUs</w:t>
            </w:r>
          </w:p>
        </w:tc>
        <w:tc>
          <w:tcPr>
            <w:tcW w:w="1836" w:type="pct"/>
            <w:tcBorders>
              <w:top w:val="single" w:sz="4" w:space="0" w:color="BFBFBF"/>
              <w:left w:val="single" w:sz="4" w:space="0" w:color="BFBFBF"/>
              <w:bottom w:val="single" w:sz="4" w:space="0" w:color="BFBFBF" w:themeColor="background1" w:themeShade="BF"/>
              <w:right w:val="single" w:sz="4" w:space="0" w:color="BFBFBF"/>
            </w:tcBorders>
            <w:vAlign w:val="center"/>
          </w:tcPr>
          <w:p w14:paraId="0A70C016" w14:textId="77777777" w:rsidR="002B31E7" w:rsidRPr="002B31E7" w:rsidRDefault="002B31E7" w:rsidP="0008434D">
            <w:pPr>
              <w:contextualSpacing/>
              <w:rPr>
                <w:rFonts w:ascii="Verdana" w:hAnsi="Verdana" w:cs="Arial"/>
                <w:color w:val="000000"/>
                <w:sz w:val="20"/>
                <w:szCs w:val="20"/>
              </w:rPr>
            </w:pPr>
            <w:r w:rsidRPr="002B31E7">
              <w:rPr>
                <w:rFonts w:ascii="Verdana" w:hAnsi="Verdana" w:cs="Arial"/>
                <w:color w:val="000000"/>
                <w:sz w:val="20"/>
                <w:szCs w:val="20"/>
              </w:rPr>
              <w:t>Maintain performance levels within the lower quartile, or show a reduction towards the quartile below</w:t>
            </w:r>
          </w:p>
        </w:tc>
      </w:tr>
      <w:tr w:rsidR="002B31E7" w:rsidRPr="002B31E7" w14:paraId="75EECB06" w14:textId="77777777" w:rsidTr="0008434D">
        <w:trPr>
          <w:cantSplit/>
          <w:trHeight w:val="283"/>
          <w:tblHeader/>
          <w:jc w:val="center"/>
        </w:trPr>
        <w:tc>
          <w:tcPr>
            <w:tcW w:w="100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7F711760" w14:textId="77777777" w:rsidR="002B31E7" w:rsidRPr="002B31E7" w:rsidRDefault="002B31E7" w:rsidP="0008434D">
            <w:pPr>
              <w:ind w:right="-109"/>
              <w:contextualSpacing/>
              <w:rPr>
                <w:rFonts w:ascii="Verdana" w:hAnsi="Verdana" w:cs="Arial"/>
                <w:b/>
                <w:sz w:val="20"/>
                <w:szCs w:val="20"/>
              </w:rPr>
            </w:pPr>
            <w:r w:rsidRPr="002B31E7">
              <w:rPr>
                <w:rFonts w:ascii="Verdana" w:hAnsi="Verdana" w:cs="Arial"/>
                <w:b/>
                <w:sz w:val="20"/>
                <w:szCs w:val="20"/>
              </w:rPr>
              <w:t xml:space="preserve">Yellow Cards </w:t>
            </w:r>
          </w:p>
        </w:tc>
        <w:tc>
          <w:tcPr>
            <w:tcW w:w="8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ABA1B"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Primary care</w:t>
            </w:r>
          </w:p>
        </w:tc>
        <w:tc>
          <w:tcPr>
            <w:tcW w:w="1358"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27DF1"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Number of Yellow Cards submitted</w:t>
            </w: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6621E" w14:textId="77777777" w:rsidR="002B31E7" w:rsidRPr="002B31E7" w:rsidRDefault="002B31E7" w:rsidP="0008434D">
            <w:pPr>
              <w:contextualSpacing/>
              <w:rPr>
                <w:rFonts w:ascii="Verdana" w:hAnsi="Verdana" w:cs="Arial"/>
                <w:color w:val="000000"/>
                <w:sz w:val="20"/>
                <w:szCs w:val="20"/>
              </w:rPr>
            </w:pPr>
            <w:r w:rsidRPr="002B31E7">
              <w:rPr>
                <w:rFonts w:ascii="Verdana" w:hAnsi="Verdana" w:cs="Arial"/>
                <w:sz w:val="20"/>
                <w:szCs w:val="20"/>
              </w:rPr>
              <w:t>One Yellow Card per 2,000 GP practice population</w:t>
            </w:r>
          </w:p>
        </w:tc>
      </w:tr>
      <w:tr w:rsidR="002B31E7" w:rsidRPr="002B31E7" w14:paraId="7E5D9682" w14:textId="77777777" w:rsidTr="0008434D">
        <w:trPr>
          <w:cantSplit/>
          <w:trHeight w:val="283"/>
          <w:tblHeader/>
          <w:jc w:val="center"/>
        </w:trPr>
        <w:tc>
          <w:tcPr>
            <w:tcW w:w="100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64EF92DF" w14:textId="77777777" w:rsidR="002B31E7" w:rsidRPr="002B31E7" w:rsidRDefault="002B31E7" w:rsidP="0008434D">
            <w:pPr>
              <w:ind w:right="-109"/>
              <w:contextualSpacing/>
              <w:rPr>
                <w:rFonts w:ascii="Verdana" w:hAnsi="Verdana" w:cs="Arial"/>
                <w:b/>
                <w:sz w:val="20"/>
                <w:szCs w:val="20"/>
              </w:rPr>
            </w:pPr>
          </w:p>
        </w:tc>
        <w:tc>
          <w:tcPr>
            <w:tcW w:w="8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E27237"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Health board</w:t>
            </w:r>
          </w:p>
        </w:tc>
        <w:tc>
          <w:tcPr>
            <w:tcW w:w="13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495D3" w14:textId="77777777" w:rsidR="002B31E7" w:rsidRPr="002B31E7" w:rsidRDefault="002B31E7" w:rsidP="0008434D">
            <w:pPr>
              <w:contextualSpacing/>
              <w:rPr>
                <w:rFonts w:ascii="Verdana" w:hAnsi="Verdana" w:cs="Arial"/>
                <w:sz w:val="20"/>
                <w:szCs w:val="20"/>
              </w:rPr>
            </w:pP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34A46E" w14:textId="77777777" w:rsidR="002B31E7" w:rsidRPr="002B31E7" w:rsidRDefault="002B31E7" w:rsidP="0008434D">
            <w:pPr>
              <w:contextualSpacing/>
              <w:rPr>
                <w:rFonts w:ascii="Verdana" w:hAnsi="Verdana" w:cs="Arial"/>
                <w:color w:val="000000"/>
                <w:sz w:val="20"/>
                <w:szCs w:val="20"/>
              </w:rPr>
            </w:pPr>
            <w:r w:rsidRPr="002B31E7">
              <w:rPr>
                <w:rFonts w:ascii="Verdana" w:hAnsi="Verdana" w:cs="Arial"/>
                <w:sz w:val="20"/>
                <w:szCs w:val="20"/>
              </w:rPr>
              <w:t>O</w:t>
            </w:r>
            <w:r w:rsidRPr="002B31E7">
              <w:rPr>
                <w:rFonts w:ascii="Verdana" w:hAnsi="Verdana" w:cs="Arial"/>
                <w:color w:val="000000"/>
                <w:sz w:val="20"/>
                <w:szCs w:val="20"/>
              </w:rPr>
              <w:t>ne Yellow Card per 2,000 health board population</w:t>
            </w:r>
          </w:p>
          <w:p w14:paraId="1B94F5A4" w14:textId="77777777" w:rsidR="002B31E7" w:rsidRPr="002B31E7" w:rsidRDefault="002B31E7" w:rsidP="0008434D">
            <w:pPr>
              <w:contextualSpacing/>
              <w:rPr>
                <w:rFonts w:ascii="Verdana" w:hAnsi="Verdana" w:cs="Arial"/>
                <w:color w:val="000000"/>
                <w:sz w:val="20"/>
                <w:szCs w:val="20"/>
              </w:rPr>
            </w:pPr>
          </w:p>
          <w:p w14:paraId="3CA05AB6" w14:textId="77777777" w:rsidR="002B31E7" w:rsidRPr="002B31E7" w:rsidRDefault="002B31E7" w:rsidP="0008434D">
            <w:pPr>
              <w:jc w:val="both"/>
              <w:rPr>
                <w:rFonts w:ascii="Verdana" w:hAnsi="Verdana" w:cs="Arial"/>
                <w:color w:val="000000"/>
                <w:sz w:val="20"/>
                <w:szCs w:val="20"/>
              </w:rPr>
            </w:pPr>
            <w:r w:rsidRPr="002B31E7">
              <w:rPr>
                <w:rFonts w:ascii="Verdana" w:hAnsi="Verdana" w:cs="Arial"/>
                <w:color w:val="000000"/>
                <w:sz w:val="20"/>
                <w:szCs w:val="20"/>
              </w:rPr>
              <w:t>20% or greater increase from baseline (2020–2021) for Yellow Cards submitted by secondary care</w:t>
            </w:r>
          </w:p>
          <w:p w14:paraId="6EC4D28E" w14:textId="77777777" w:rsidR="002B31E7" w:rsidRPr="002B31E7" w:rsidRDefault="002B31E7" w:rsidP="0008434D">
            <w:pPr>
              <w:contextualSpacing/>
              <w:rPr>
                <w:rFonts w:ascii="Verdana" w:hAnsi="Verdana" w:cs="Arial"/>
                <w:color w:val="000000"/>
                <w:sz w:val="20"/>
                <w:szCs w:val="20"/>
              </w:rPr>
            </w:pPr>
          </w:p>
          <w:p w14:paraId="0FCE74A5"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50% or greater increase from baseline (2020–2021) for Yellow Cards submitted by members of the public</w:t>
            </w:r>
          </w:p>
        </w:tc>
      </w:tr>
      <w:tr w:rsidR="002B31E7" w:rsidRPr="002B31E7" w14:paraId="1BEB5D4F" w14:textId="77777777" w:rsidTr="0008434D">
        <w:trPr>
          <w:cantSplit/>
          <w:trHeight w:val="283"/>
          <w:tblHeader/>
          <w:jc w:val="center"/>
        </w:trPr>
        <w:tc>
          <w:tcPr>
            <w:tcW w:w="1004"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4F4F4"/>
            <w:vAlign w:val="center"/>
          </w:tcPr>
          <w:p w14:paraId="6763FEBF" w14:textId="77777777" w:rsidR="002B31E7" w:rsidRPr="002B31E7" w:rsidRDefault="002B31E7" w:rsidP="0008434D">
            <w:pPr>
              <w:ind w:right="-109"/>
              <w:contextualSpacing/>
              <w:rPr>
                <w:rFonts w:ascii="Verdana" w:hAnsi="Verdana" w:cs="Arial"/>
                <w:b/>
                <w:sz w:val="20"/>
                <w:szCs w:val="20"/>
              </w:rPr>
            </w:pPr>
          </w:p>
        </w:tc>
        <w:tc>
          <w:tcPr>
            <w:tcW w:w="8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30D99B"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Community pharmacy</w:t>
            </w:r>
          </w:p>
        </w:tc>
        <w:tc>
          <w:tcPr>
            <w:tcW w:w="1358"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8B839" w14:textId="77777777" w:rsidR="002B31E7" w:rsidRPr="002B31E7" w:rsidRDefault="002B31E7" w:rsidP="0008434D">
            <w:pPr>
              <w:contextualSpacing/>
              <w:rPr>
                <w:rFonts w:ascii="Verdana" w:hAnsi="Verdana" w:cs="Arial"/>
                <w:sz w:val="20"/>
                <w:szCs w:val="20"/>
              </w:rPr>
            </w:pPr>
          </w:p>
        </w:tc>
        <w:tc>
          <w:tcPr>
            <w:tcW w:w="18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601CED"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No target set.</w:t>
            </w:r>
          </w:p>
          <w:p w14:paraId="5442A61C" w14:textId="77777777" w:rsidR="002B31E7" w:rsidRPr="002B31E7" w:rsidRDefault="002B31E7" w:rsidP="0008434D">
            <w:pPr>
              <w:contextualSpacing/>
              <w:rPr>
                <w:rFonts w:ascii="Verdana" w:hAnsi="Verdana" w:cs="Arial"/>
                <w:sz w:val="20"/>
                <w:szCs w:val="20"/>
              </w:rPr>
            </w:pPr>
            <w:r w:rsidRPr="002B31E7">
              <w:rPr>
                <w:rFonts w:ascii="Verdana" w:hAnsi="Verdana" w:cs="Arial"/>
                <w:sz w:val="20"/>
                <w:szCs w:val="20"/>
              </w:rPr>
              <w:t>Reported as the number of Yellow Cards submitted by health board</w:t>
            </w:r>
          </w:p>
        </w:tc>
      </w:tr>
    </w:tbl>
    <w:p w14:paraId="14AF2A9E" w14:textId="77777777" w:rsidR="00FB77BA" w:rsidRDefault="00FB77BA">
      <w:pPr>
        <w:rPr>
          <w:rFonts w:ascii="Verdana" w:hAnsi="Verdana" w:cs="Calibri Light"/>
          <w:sz w:val="24"/>
          <w:szCs w:val="24"/>
        </w:rPr>
      </w:pPr>
    </w:p>
    <w:p w14:paraId="41C6B83B" w14:textId="7F9689F2" w:rsidR="000D4A81" w:rsidRDefault="000D4A81">
      <w:pPr>
        <w:rPr>
          <w:rFonts w:ascii="Verdana" w:hAnsi="Verdana" w:cs="Calibri Light"/>
          <w:sz w:val="24"/>
          <w:szCs w:val="24"/>
        </w:rPr>
      </w:pPr>
    </w:p>
    <w:p w14:paraId="4D36F2F0" w14:textId="77777777" w:rsidR="000D4A81" w:rsidRPr="000D4A81" w:rsidRDefault="000D4A81">
      <w:pPr>
        <w:rPr>
          <w:rFonts w:ascii="Verdana" w:hAnsi="Verdana"/>
          <w:sz w:val="24"/>
          <w:szCs w:val="24"/>
        </w:rPr>
      </w:pPr>
    </w:p>
    <w:sectPr w:rsidR="000D4A81" w:rsidRPr="000D4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2E"/>
    <w:rsid w:val="000D4A81"/>
    <w:rsid w:val="001C2F2E"/>
    <w:rsid w:val="00292106"/>
    <w:rsid w:val="002B31E7"/>
    <w:rsid w:val="002E1947"/>
    <w:rsid w:val="003C70BC"/>
    <w:rsid w:val="00566A0B"/>
    <w:rsid w:val="00FB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9AA8"/>
  <w15:chartTrackingRefBased/>
  <w15:docId w15:val="{BE5E7F4B-159E-44B9-A595-8B14B2B2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uiPriority w:val="9"/>
    <w:semiHidden/>
    <w:unhideWhenUsed/>
    <w:qFormat/>
    <w:rsid w:val="002B31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B31E7"/>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2921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7</cp:revision>
  <dcterms:created xsi:type="dcterms:W3CDTF">2021-09-10T12:34:00Z</dcterms:created>
  <dcterms:modified xsi:type="dcterms:W3CDTF">2021-09-10T12:52:00Z</dcterms:modified>
</cp:coreProperties>
</file>